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EA" w:rsidRDefault="005015EA" w:rsidP="005015EA">
      <w:pPr>
        <w:pStyle w:val="Nagwek1"/>
        <w:ind w:left="-5"/>
      </w:pPr>
      <w:r>
        <w:rPr>
          <w:rFonts w:ascii="Times New Roman" w:eastAsia="Times New Roman" w:hAnsi="Times New Roman" w:cs="Times New Roman"/>
          <w:b w:val="0"/>
          <w:sz w:val="25"/>
        </w:rPr>
        <w:t>C</w:t>
      </w:r>
      <w:r>
        <w:rPr>
          <w:rFonts w:ascii="Times New Roman" w:eastAsia="Times New Roman" w:hAnsi="Times New Roman" w:cs="Times New Roman"/>
          <w:b w:val="0"/>
          <w:sz w:val="20"/>
        </w:rPr>
        <w:t>ZAS TRWANIA POSZCZEGÓLNYCH CZĘŚCI EGZAMINU MATURALNEGO W CZĘŚCI PISEMNEJ</w:t>
      </w:r>
      <w:r>
        <w:rPr>
          <w:rFonts w:ascii="Times New Roman" w:eastAsia="Times New Roman" w:hAnsi="Times New Roman" w:cs="Times New Roman"/>
          <w:b w:val="0"/>
          <w:sz w:val="25"/>
          <w:vertAlign w:val="superscript"/>
        </w:rPr>
        <w:t>*</w:t>
      </w:r>
      <w:r>
        <w:rPr>
          <w:rFonts w:ascii="Times New Roman" w:eastAsia="Times New Roman" w:hAnsi="Times New Roman" w:cs="Times New Roman"/>
          <w:b w:val="0"/>
          <w:sz w:val="25"/>
        </w:rPr>
        <w:t xml:space="preserve"> </w:t>
      </w:r>
    </w:p>
    <w:p w:rsidR="005015EA" w:rsidRDefault="005015EA" w:rsidP="005015EA">
      <w:pPr>
        <w:ind w:left="-5"/>
      </w:pPr>
      <w:r>
        <w:t xml:space="preserve">(Dotyczy egzaminu maturalnego w formule obowiązującej od 2015 r. – dla absolwentów liceów ogólnokształcących z lat 2015– 2018 oraz absolwentów techników z lat 2016–2018.) </w:t>
      </w:r>
    </w:p>
    <w:p w:rsidR="005015EA" w:rsidRDefault="005015EA" w:rsidP="005015E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060" w:type="dxa"/>
        <w:tblInd w:w="6" w:type="dxa"/>
        <w:tblCellMar>
          <w:top w:w="7" w:type="dxa"/>
          <w:left w:w="107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3686"/>
        <w:gridCol w:w="2225"/>
        <w:gridCol w:w="1248"/>
        <w:gridCol w:w="1901"/>
      </w:tblGrid>
      <w:tr w:rsidR="005015EA" w:rsidTr="00413669">
        <w:trPr>
          <w:trHeight w:val="2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5EA" w:rsidRDefault="005015EA" w:rsidP="00413669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0"/>
              </w:rPr>
              <w:t xml:space="preserve">Przedmioty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5EA" w:rsidRDefault="005015EA" w:rsidP="0041366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Arkusze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5EA" w:rsidRDefault="005015EA" w:rsidP="00413669">
            <w:pPr>
              <w:spacing w:after="0" w:line="259" w:lineRule="auto"/>
              <w:ind w:left="21" w:firstLine="0"/>
              <w:jc w:val="left"/>
            </w:pPr>
            <w:r>
              <w:rPr>
                <w:b/>
                <w:sz w:val="20"/>
              </w:rPr>
              <w:t xml:space="preserve">Czas trwania (min) </w:t>
            </w:r>
          </w:p>
        </w:tc>
      </w:tr>
      <w:tr w:rsidR="005015EA" w:rsidTr="00413669">
        <w:trPr>
          <w:trHeight w:val="356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980" w:firstLine="0"/>
            </w:pPr>
            <w:r>
              <w:rPr>
                <w:sz w:val="20"/>
              </w:rPr>
              <w:t xml:space="preserve">język </w:t>
            </w:r>
            <w:proofErr w:type="gramStart"/>
            <w:r>
              <w:rPr>
                <w:sz w:val="20"/>
              </w:rPr>
              <w:t>polski  matematyka</w:t>
            </w:r>
            <w:proofErr w:type="gramEnd"/>
            <w:r>
              <w:rPr>
                <w:sz w:val="20"/>
              </w:rPr>
              <w:t xml:space="preserve">  języki mniejszości narodowych 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poziom</w:t>
            </w:r>
            <w:proofErr w:type="gramEnd"/>
            <w:r>
              <w:rPr>
                <w:sz w:val="20"/>
              </w:rPr>
              <w:t xml:space="preserve"> podstawowy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170 </w:t>
            </w:r>
          </w:p>
        </w:tc>
      </w:tr>
      <w:tr w:rsidR="005015EA" w:rsidTr="00413669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poziom</w:t>
            </w:r>
            <w:proofErr w:type="gramEnd"/>
            <w:r>
              <w:rPr>
                <w:sz w:val="20"/>
              </w:rPr>
              <w:t xml:space="preserve"> rozszerzony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180 </w:t>
            </w:r>
          </w:p>
        </w:tc>
      </w:tr>
      <w:tr w:rsidR="005015EA" w:rsidTr="00413669">
        <w:trPr>
          <w:trHeight w:val="24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języki</w:t>
            </w:r>
            <w:proofErr w:type="gramEnd"/>
            <w:r>
              <w:rPr>
                <w:sz w:val="20"/>
              </w:rPr>
              <w:t xml:space="preserve"> obce nowożytne 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poziom</w:t>
            </w:r>
            <w:proofErr w:type="gramEnd"/>
            <w:r>
              <w:rPr>
                <w:sz w:val="20"/>
              </w:rPr>
              <w:t xml:space="preserve"> podstawowy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120 </w:t>
            </w:r>
          </w:p>
        </w:tc>
      </w:tr>
      <w:tr w:rsidR="005015EA" w:rsidTr="0041366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5EA" w:rsidRDefault="005015EA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poziom</w:t>
            </w:r>
            <w:proofErr w:type="gramEnd"/>
            <w:r>
              <w:rPr>
                <w:sz w:val="20"/>
              </w:rPr>
              <w:t xml:space="preserve"> rozszerzony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150 </w:t>
            </w:r>
          </w:p>
        </w:tc>
      </w:tr>
      <w:tr w:rsidR="005015EA" w:rsidTr="0041366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poziom</w:t>
            </w:r>
            <w:proofErr w:type="gramEnd"/>
            <w:r>
              <w:rPr>
                <w:sz w:val="20"/>
              </w:rPr>
              <w:t xml:space="preserve"> dwujęzyczny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180 </w:t>
            </w:r>
          </w:p>
        </w:tc>
      </w:tr>
      <w:tr w:rsidR="005015EA" w:rsidTr="00413669">
        <w:trPr>
          <w:trHeight w:val="27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34" w:line="244" w:lineRule="auto"/>
              <w:ind w:left="0" w:right="2195" w:firstLine="0"/>
              <w:jc w:val="left"/>
            </w:pPr>
            <w:proofErr w:type="gramStart"/>
            <w:r>
              <w:rPr>
                <w:sz w:val="20"/>
              </w:rPr>
              <w:t>biologia  chemia</w:t>
            </w:r>
            <w:proofErr w:type="gramEnd"/>
            <w:r>
              <w:rPr>
                <w:sz w:val="20"/>
              </w:rPr>
              <w:t xml:space="preserve">  filozofia  fizyka  geografia  historia  </w:t>
            </w:r>
            <w:proofErr w:type="spellStart"/>
            <w:r>
              <w:rPr>
                <w:sz w:val="20"/>
              </w:rPr>
              <w:t>historia</w:t>
            </w:r>
            <w:proofErr w:type="spellEnd"/>
            <w:r>
              <w:rPr>
                <w:sz w:val="20"/>
              </w:rPr>
              <w:t xml:space="preserve"> muzyki  historia sztuki  język kaszubski  </w:t>
            </w:r>
          </w:p>
          <w:p w:rsidR="005015EA" w:rsidRDefault="005015EA" w:rsidP="00413669">
            <w:pPr>
              <w:spacing w:after="19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łaciński i kultura antyczna  </w:t>
            </w:r>
          </w:p>
          <w:p w:rsidR="005015EA" w:rsidRDefault="005015EA" w:rsidP="00413669">
            <w:pPr>
              <w:spacing w:after="0" w:line="259" w:lineRule="auto"/>
              <w:ind w:left="0" w:right="1446" w:firstLine="0"/>
            </w:pPr>
            <w:r>
              <w:rPr>
                <w:sz w:val="20"/>
              </w:rPr>
              <w:t xml:space="preserve">język </w:t>
            </w:r>
            <w:proofErr w:type="gramStart"/>
            <w:r>
              <w:rPr>
                <w:sz w:val="20"/>
              </w:rPr>
              <w:t>łemkowski  wiedza</w:t>
            </w:r>
            <w:proofErr w:type="gramEnd"/>
            <w:r>
              <w:rPr>
                <w:sz w:val="20"/>
              </w:rPr>
              <w:t xml:space="preserve"> o społeczeństwie 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poziom</w:t>
            </w:r>
            <w:proofErr w:type="gramEnd"/>
            <w:r>
              <w:rPr>
                <w:sz w:val="20"/>
              </w:rPr>
              <w:t xml:space="preserve"> rozszerzony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180 </w:t>
            </w:r>
          </w:p>
        </w:tc>
      </w:tr>
      <w:tr w:rsidR="005015EA" w:rsidTr="00413669">
        <w:trPr>
          <w:trHeight w:val="24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informatyka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poziom</w:t>
            </w:r>
            <w:proofErr w:type="gramEnd"/>
            <w:r>
              <w:rPr>
                <w:sz w:val="20"/>
              </w:rPr>
              <w:t xml:space="preserve"> rozszerzony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część</w:t>
            </w:r>
            <w:proofErr w:type="gramEnd"/>
            <w:r>
              <w:rPr>
                <w:sz w:val="20"/>
              </w:rPr>
              <w:t xml:space="preserve"> I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60 </w:t>
            </w:r>
          </w:p>
        </w:tc>
      </w:tr>
      <w:tr w:rsidR="005015EA" w:rsidTr="0041366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5EA" w:rsidRDefault="005015EA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część</w:t>
            </w:r>
            <w:proofErr w:type="gramEnd"/>
            <w:r>
              <w:rPr>
                <w:sz w:val="20"/>
              </w:rPr>
              <w:t xml:space="preserve"> II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150 </w:t>
            </w:r>
          </w:p>
        </w:tc>
      </w:tr>
      <w:tr w:rsidR="005015EA" w:rsidTr="00413669">
        <w:trPr>
          <w:trHeight w:val="471"/>
        </w:trPr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przedmioty</w:t>
            </w:r>
            <w:proofErr w:type="gramEnd"/>
            <w:r>
              <w:rPr>
                <w:sz w:val="20"/>
              </w:rPr>
              <w:t xml:space="preserve"> zdawane w języku obcym</w:t>
            </w:r>
            <w:r>
              <w:rPr>
                <w:sz w:val="20"/>
                <w:vertAlign w:val="superscript"/>
              </w:rPr>
              <w:t>***</w:t>
            </w:r>
            <w:r>
              <w:rPr>
                <w:sz w:val="20"/>
              </w:rPr>
              <w:t xml:space="preserve"> – biologia (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>), chemia (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>), fizyka (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>), geografia (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>), historia (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>), matematyka (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****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80 </w:t>
            </w:r>
          </w:p>
        </w:tc>
      </w:tr>
    </w:tbl>
    <w:p w:rsidR="005015EA" w:rsidRDefault="005015EA" w:rsidP="005015EA">
      <w:pPr>
        <w:spacing w:after="90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5015EA" w:rsidRDefault="005015EA" w:rsidP="005015EA">
      <w:pPr>
        <w:ind w:left="-5"/>
      </w:pPr>
      <w:r>
        <w:rPr>
          <w:vertAlign w:val="superscript"/>
        </w:rPr>
        <w:t>*</w:t>
      </w:r>
      <w:r>
        <w:t xml:space="preserve"> Czas trwania egzaminu może być przedłużony w przypadku dostosowań określonych w komunikacie dyrektora CKE. </w:t>
      </w:r>
    </w:p>
    <w:p w:rsidR="005015EA" w:rsidRDefault="005015EA" w:rsidP="005015EA">
      <w:pPr>
        <w:spacing w:after="90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5015EA" w:rsidRDefault="005015EA" w:rsidP="005015EA">
      <w:pPr>
        <w:ind w:left="-5"/>
      </w:pPr>
      <w:r>
        <w:rPr>
          <w:vertAlign w:val="superscript"/>
        </w:rPr>
        <w:t>**</w:t>
      </w:r>
      <w:r>
        <w:t xml:space="preserve"> Przerwa między poszczególnymi częściami egzaminu z informatyki na poziomie rozszerzonym trwa 30 minut.  </w:t>
      </w:r>
    </w:p>
    <w:p w:rsidR="005015EA" w:rsidRDefault="005015EA" w:rsidP="005015EA">
      <w:pPr>
        <w:spacing w:after="82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5015EA" w:rsidRDefault="005015EA" w:rsidP="005015EA">
      <w:pPr>
        <w:ind w:left="-5"/>
      </w:pPr>
      <w:r>
        <w:rPr>
          <w:vertAlign w:val="superscript"/>
        </w:rPr>
        <w:t>***</w:t>
      </w:r>
      <w:r>
        <w:t xml:space="preserve"> Dodatkowe zadania egzaminacyjne w języku obcym z biologii, chemii, fizyki i astronomii, geografii, historii, matematyki mogą rozwiązywać absolwenci oddziałów dwujęzycznych, w których przedmioty te były nauczane w języku obcym nowożytnym. </w:t>
      </w:r>
    </w:p>
    <w:p w:rsidR="005015EA" w:rsidRDefault="005015EA" w:rsidP="005015EA">
      <w:pPr>
        <w:spacing w:after="65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5015EA" w:rsidRDefault="005015EA" w:rsidP="005015EA">
      <w:pPr>
        <w:ind w:left="-5"/>
      </w:pPr>
      <w:r>
        <w:rPr>
          <w:vertAlign w:val="superscript"/>
        </w:rPr>
        <w:t>****</w:t>
      </w:r>
      <w:r>
        <w:t xml:space="preserve"> </w:t>
      </w:r>
      <w:proofErr w:type="spellStart"/>
      <w:r>
        <w:t>pp</w:t>
      </w:r>
      <w:proofErr w:type="spellEnd"/>
      <w:r>
        <w:t xml:space="preserve"> – poziom podstawowy; </w:t>
      </w:r>
      <w:proofErr w:type="spellStart"/>
      <w:r>
        <w:t>pr</w:t>
      </w:r>
      <w:proofErr w:type="spellEnd"/>
      <w:r>
        <w:t xml:space="preserve"> – poziom rozszerzony. </w:t>
      </w:r>
    </w:p>
    <w:p w:rsidR="009D1029" w:rsidRDefault="009D1029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>
      <w:pPr>
        <w:rPr>
          <w:i/>
        </w:rPr>
      </w:pPr>
    </w:p>
    <w:p w:rsidR="005015EA" w:rsidRDefault="005015EA" w:rsidP="005015EA">
      <w:pPr>
        <w:pStyle w:val="Nagwek1"/>
        <w:ind w:left="-5"/>
      </w:pPr>
      <w:r>
        <w:rPr>
          <w:rFonts w:ascii="Times New Roman" w:eastAsia="Times New Roman" w:hAnsi="Times New Roman" w:cs="Times New Roman"/>
          <w:b w:val="0"/>
          <w:sz w:val="25"/>
        </w:rPr>
        <w:lastRenderedPageBreak/>
        <w:t>C</w:t>
      </w:r>
      <w:r>
        <w:rPr>
          <w:rFonts w:ascii="Times New Roman" w:eastAsia="Times New Roman" w:hAnsi="Times New Roman" w:cs="Times New Roman"/>
          <w:b w:val="0"/>
          <w:sz w:val="20"/>
        </w:rPr>
        <w:t>ZAS TRWANIA POSZCZEGÓLNYCH CZĘŚCI EGZAMINU MATURALNEGO W CZĘŚCI PISEMNEJ</w:t>
      </w:r>
      <w:r>
        <w:rPr>
          <w:rFonts w:ascii="Times New Roman" w:eastAsia="Times New Roman" w:hAnsi="Times New Roman" w:cs="Times New Roman"/>
          <w:b w:val="0"/>
          <w:sz w:val="25"/>
          <w:vertAlign w:val="superscript"/>
        </w:rPr>
        <w:t>*</w:t>
      </w:r>
      <w:r>
        <w:rPr>
          <w:rFonts w:ascii="Times New Roman" w:eastAsia="Times New Roman" w:hAnsi="Times New Roman" w:cs="Times New Roman"/>
          <w:b w:val="0"/>
          <w:sz w:val="25"/>
        </w:rPr>
        <w:t xml:space="preserve"> </w:t>
      </w:r>
    </w:p>
    <w:p w:rsidR="005015EA" w:rsidRDefault="005015EA" w:rsidP="005015EA">
      <w:pPr>
        <w:ind w:left="-5"/>
      </w:pPr>
      <w:r>
        <w:t xml:space="preserve">(Dotyczy egzaminu maturalnego w formule obowiązującej powszechnie do 2014 r., a w 2018 r. obowiązującej wszystkich absolwentów liceów z lat 2005–2014 oraz absolwentów techników z lat 2006–2015.) </w:t>
      </w:r>
    </w:p>
    <w:p w:rsidR="005015EA" w:rsidRDefault="005015EA" w:rsidP="005015E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060" w:type="dxa"/>
        <w:tblInd w:w="6" w:type="dxa"/>
        <w:tblCellMar>
          <w:top w:w="7" w:type="dxa"/>
          <w:left w:w="107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3518"/>
        <w:gridCol w:w="2123"/>
        <w:gridCol w:w="2005"/>
        <w:gridCol w:w="1414"/>
      </w:tblGrid>
      <w:tr w:rsidR="005015EA" w:rsidTr="00413669">
        <w:trPr>
          <w:trHeight w:val="468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5EA" w:rsidRDefault="005015EA" w:rsidP="00413669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0"/>
              </w:rPr>
              <w:t xml:space="preserve">Przedmioty </w:t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5EA" w:rsidRDefault="005015EA" w:rsidP="0041366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Arkusze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5EA" w:rsidRDefault="005015EA" w:rsidP="0041366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Czas trwania (min) </w:t>
            </w:r>
          </w:p>
        </w:tc>
      </w:tr>
      <w:tr w:rsidR="005015EA" w:rsidTr="00413669">
        <w:trPr>
          <w:trHeight w:val="354"/>
        </w:trPr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25" w:line="237" w:lineRule="auto"/>
              <w:ind w:left="0" w:right="1245" w:firstLine="0"/>
              <w:jc w:val="left"/>
            </w:pPr>
            <w:r>
              <w:rPr>
                <w:sz w:val="20"/>
              </w:rPr>
              <w:t xml:space="preserve">język </w:t>
            </w:r>
            <w:proofErr w:type="gramStart"/>
            <w:r>
              <w:rPr>
                <w:sz w:val="20"/>
              </w:rPr>
              <w:t>polski  matematyka</w:t>
            </w:r>
            <w:proofErr w:type="gramEnd"/>
            <w:r>
              <w:rPr>
                <w:sz w:val="20"/>
              </w:rPr>
              <w:t xml:space="preserve">  </w:t>
            </w:r>
          </w:p>
          <w:p w:rsidR="005015EA" w:rsidRDefault="005015EA" w:rsidP="00413669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języki</w:t>
            </w:r>
            <w:proofErr w:type="gramEnd"/>
            <w:r>
              <w:rPr>
                <w:sz w:val="20"/>
              </w:rPr>
              <w:t xml:space="preserve"> mniejszości narodowych  </w:t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poziom</w:t>
            </w:r>
            <w:proofErr w:type="gramEnd"/>
            <w:r>
              <w:rPr>
                <w:sz w:val="20"/>
              </w:rPr>
              <w:t xml:space="preserve"> podstawowy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170 </w:t>
            </w:r>
          </w:p>
        </w:tc>
      </w:tr>
      <w:tr w:rsidR="005015EA" w:rsidTr="00413669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poziom</w:t>
            </w:r>
            <w:proofErr w:type="gramEnd"/>
            <w:r>
              <w:rPr>
                <w:sz w:val="20"/>
              </w:rPr>
              <w:t xml:space="preserve"> rozszerzony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180 </w:t>
            </w:r>
          </w:p>
        </w:tc>
      </w:tr>
      <w:tr w:rsidR="005015EA" w:rsidTr="00413669">
        <w:trPr>
          <w:trHeight w:val="240"/>
        </w:trPr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języki</w:t>
            </w:r>
            <w:proofErr w:type="gramEnd"/>
            <w:r>
              <w:rPr>
                <w:sz w:val="20"/>
              </w:rPr>
              <w:t xml:space="preserve"> obce nowożytne  </w:t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poziom</w:t>
            </w:r>
            <w:proofErr w:type="gramEnd"/>
            <w:r>
              <w:rPr>
                <w:sz w:val="20"/>
              </w:rPr>
              <w:t xml:space="preserve"> podstawowy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120 </w:t>
            </w:r>
          </w:p>
        </w:tc>
      </w:tr>
      <w:tr w:rsidR="005015EA" w:rsidTr="0041366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5EA" w:rsidRDefault="005015EA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poziom</w:t>
            </w:r>
            <w:proofErr w:type="gramEnd"/>
            <w:r>
              <w:rPr>
                <w:sz w:val="20"/>
              </w:rPr>
              <w:t xml:space="preserve"> rozszerzony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część</w:t>
            </w:r>
            <w:proofErr w:type="gramEnd"/>
            <w:r>
              <w:rPr>
                <w:sz w:val="20"/>
              </w:rPr>
              <w:t xml:space="preserve"> 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120 </w:t>
            </w:r>
          </w:p>
        </w:tc>
      </w:tr>
      <w:tr w:rsidR="005015EA" w:rsidTr="0041366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5EA" w:rsidRDefault="005015EA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część</w:t>
            </w:r>
            <w:proofErr w:type="gramEnd"/>
            <w:r>
              <w:rPr>
                <w:sz w:val="20"/>
              </w:rPr>
              <w:t xml:space="preserve"> II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70 </w:t>
            </w:r>
          </w:p>
        </w:tc>
      </w:tr>
      <w:tr w:rsidR="005015EA" w:rsidTr="0041366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poziom</w:t>
            </w:r>
            <w:proofErr w:type="gramEnd"/>
            <w:r>
              <w:rPr>
                <w:sz w:val="20"/>
              </w:rPr>
              <w:t xml:space="preserve"> dwujęzyczny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180 </w:t>
            </w:r>
          </w:p>
        </w:tc>
      </w:tr>
      <w:tr w:rsidR="005015EA" w:rsidTr="00413669">
        <w:trPr>
          <w:trHeight w:val="240"/>
        </w:trPr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informatyka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poziom</w:t>
            </w:r>
            <w:proofErr w:type="gramEnd"/>
            <w:r>
              <w:rPr>
                <w:sz w:val="20"/>
              </w:rPr>
              <w:t xml:space="preserve"> podstawowy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część</w:t>
            </w:r>
            <w:proofErr w:type="gramEnd"/>
            <w:r>
              <w:rPr>
                <w:sz w:val="20"/>
              </w:rPr>
              <w:t xml:space="preserve"> 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75 </w:t>
            </w:r>
          </w:p>
        </w:tc>
      </w:tr>
      <w:tr w:rsidR="005015EA" w:rsidTr="0041366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5EA" w:rsidRDefault="005015EA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część</w:t>
            </w:r>
            <w:proofErr w:type="gramEnd"/>
            <w:r>
              <w:rPr>
                <w:sz w:val="20"/>
              </w:rPr>
              <w:t xml:space="preserve"> II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120 </w:t>
            </w:r>
          </w:p>
        </w:tc>
      </w:tr>
      <w:tr w:rsidR="005015EA" w:rsidTr="0041366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5EA" w:rsidRDefault="005015EA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poziom</w:t>
            </w:r>
            <w:proofErr w:type="gramEnd"/>
            <w:r>
              <w:rPr>
                <w:sz w:val="20"/>
              </w:rPr>
              <w:t xml:space="preserve"> rozszerzony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część</w:t>
            </w:r>
            <w:proofErr w:type="gramEnd"/>
            <w:r>
              <w:rPr>
                <w:sz w:val="20"/>
              </w:rPr>
              <w:t xml:space="preserve"> 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90 </w:t>
            </w:r>
          </w:p>
        </w:tc>
      </w:tr>
      <w:tr w:rsidR="005015EA" w:rsidTr="0041366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część</w:t>
            </w:r>
            <w:proofErr w:type="gramEnd"/>
            <w:r>
              <w:rPr>
                <w:sz w:val="20"/>
              </w:rPr>
              <w:t xml:space="preserve"> II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150 </w:t>
            </w:r>
          </w:p>
        </w:tc>
      </w:tr>
      <w:tr w:rsidR="005015EA" w:rsidTr="00413669">
        <w:trPr>
          <w:trHeight w:val="937"/>
        </w:trPr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right="735" w:firstLine="0"/>
              <w:jc w:val="left"/>
            </w:pPr>
            <w:proofErr w:type="gramStart"/>
            <w:r>
              <w:rPr>
                <w:sz w:val="20"/>
              </w:rPr>
              <w:t>filozofia  historia</w:t>
            </w:r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historia</w:t>
            </w:r>
            <w:proofErr w:type="spellEnd"/>
            <w:r>
              <w:rPr>
                <w:sz w:val="20"/>
              </w:rPr>
              <w:t xml:space="preserve"> muzyki  historia sztuki  język łaciński i kultura antyczna  wiedza o społeczeństwie  wiedza o tańcu  język kaszubski  </w:t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poziom</w:t>
            </w:r>
            <w:proofErr w:type="gramEnd"/>
            <w:r>
              <w:rPr>
                <w:sz w:val="20"/>
              </w:rPr>
              <w:t xml:space="preserve"> podstawowy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120 </w:t>
            </w:r>
          </w:p>
        </w:tc>
      </w:tr>
      <w:tr w:rsidR="005015EA" w:rsidTr="00413669">
        <w:trPr>
          <w:trHeight w:val="9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poziom</w:t>
            </w:r>
            <w:proofErr w:type="gramEnd"/>
            <w:r>
              <w:rPr>
                <w:sz w:val="20"/>
              </w:rPr>
              <w:t xml:space="preserve"> rozszerzony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180 </w:t>
            </w:r>
          </w:p>
        </w:tc>
      </w:tr>
      <w:tr w:rsidR="005015EA" w:rsidTr="00413669">
        <w:trPr>
          <w:trHeight w:val="466"/>
        </w:trPr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2" w:line="237" w:lineRule="auto"/>
              <w:ind w:left="0" w:right="2039" w:firstLine="0"/>
              <w:jc w:val="left"/>
            </w:pPr>
            <w:proofErr w:type="gramStart"/>
            <w:r>
              <w:rPr>
                <w:sz w:val="20"/>
              </w:rPr>
              <w:t>biologia</w:t>
            </w:r>
            <w:proofErr w:type="gramEnd"/>
            <w:r>
              <w:rPr>
                <w:sz w:val="20"/>
              </w:rPr>
              <w:t xml:space="preserve"> chemia </w:t>
            </w:r>
          </w:p>
          <w:p w:rsidR="005015EA" w:rsidRDefault="005015EA" w:rsidP="00413669">
            <w:pPr>
              <w:spacing w:after="0" w:line="259" w:lineRule="auto"/>
              <w:ind w:left="0" w:right="892" w:firstLine="0"/>
              <w:jc w:val="left"/>
            </w:pPr>
            <w:r>
              <w:rPr>
                <w:sz w:val="20"/>
              </w:rPr>
              <w:t xml:space="preserve">fizyka i </w:t>
            </w:r>
            <w:proofErr w:type="gramStart"/>
            <w:r>
              <w:rPr>
                <w:sz w:val="20"/>
              </w:rPr>
              <w:t>astronomia  geografia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poziom</w:t>
            </w:r>
            <w:proofErr w:type="gramEnd"/>
            <w:r>
              <w:rPr>
                <w:sz w:val="20"/>
              </w:rPr>
              <w:t xml:space="preserve"> podstawowy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120 </w:t>
            </w:r>
          </w:p>
        </w:tc>
      </w:tr>
      <w:tr w:rsidR="005015EA" w:rsidTr="00413669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poziom</w:t>
            </w:r>
            <w:proofErr w:type="gramEnd"/>
            <w:r>
              <w:rPr>
                <w:sz w:val="20"/>
              </w:rPr>
              <w:t xml:space="preserve"> rozszerzony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150 </w:t>
            </w:r>
          </w:p>
        </w:tc>
      </w:tr>
      <w:tr w:rsidR="005015EA" w:rsidTr="00413669">
        <w:trPr>
          <w:trHeight w:val="470"/>
        </w:trPr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EA" w:rsidRDefault="005015EA" w:rsidP="00413669">
            <w:pPr>
              <w:spacing w:after="0" w:line="259" w:lineRule="auto"/>
              <w:ind w:left="0" w:firstLine="0"/>
            </w:pPr>
            <w:proofErr w:type="gramStart"/>
            <w:r>
              <w:rPr>
                <w:sz w:val="20"/>
              </w:rPr>
              <w:t>przedmioty</w:t>
            </w:r>
            <w:proofErr w:type="gramEnd"/>
            <w:r>
              <w:rPr>
                <w:sz w:val="20"/>
              </w:rPr>
              <w:t xml:space="preserve"> zdawane w języku obcym</w:t>
            </w:r>
            <w:r>
              <w:rPr>
                <w:sz w:val="20"/>
                <w:vertAlign w:val="superscript"/>
              </w:rPr>
              <w:t>***</w:t>
            </w:r>
            <w:r>
              <w:rPr>
                <w:sz w:val="20"/>
              </w:rPr>
              <w:t xml:space="preserve"> – biologia, chemia, fizyka i astronomia, geografia, historia, matematyka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EA" w:rsidRDefault="005015EA" w:rsidP="004136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80 </w:t>
            </w:r>
          </w:p>
        </w:tc>
      </w:tr>
    </w:tbl>
    <w:p w:rsidR="005015EA" w:rsidRDefault="005015EA" w:rsidP="005015EA">
      <w:pPr>
        <w:spacing w:after="91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5015EA" w:rsidRDefault="005015EA" w:rsidP="005015EA">
      <w:pPr>
        <w:ind w:left="-5"/>
      </w:pPr>
      <w:r>
        <w:rPr>
          <w:vertAlign w:val="superscript"/>
        </w:rPr>
        <w:t>*</w:t>
      </w:r>
      <w:r>
        <w:t xml:space="preserve"> Czas trwania egzaminu może być przedłużony w przypadku dostosowań określonych w komunikacie dyrektora CKE. </w:t>
      </w:r>
    </w:p>
    <w:p w:rsidR="005015EA" w:rsidRDefault="005015EA" w:rsidP="005015EA">
      <w:pPr>
        <w:spacing w:after="82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5015EA" w:rsidRDefault="005015EA" w:rsidP="005015EA">
      <w:pPr>
        <w:ind w:left="-5"/>
      </w:pPr>
      <w:r>
        <w:rPr>
          <w:vertAlign w:val="superscript"/>
        </w:rPr>
        <w:t>**</w:t>
      </w:r>
      <w:r>
        <w:t xml:space="preserve"> Przerwy między poszczególnymi częściami egzaminu z informatyki na poziomie podstawowym i rozszerzonym oraz z języków obcych nowożytnych na poziomie rozszerzonym trwają 30 minut.  </w:t>
      </w:r>
    </w:p>
    <w:p w:rsidR="005015EA" w:rsidRDefault="005015EA" w:rsidP="005015EA">
      <w:pPr>
        <w:spacing w:after="66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5015EA" w:rsidRDefault="005015EA" w:rsidP="005015EA">
      <w:pPr>
        <w:ind w:left="-5"/>
      </w:pPr>
      <w:r>
        <w:rPr>
          <w:vertAlign w:val="superscript"/>
        </w:rPr>
        <w:t>***</w:t>
      </w:r>
      <w:r>
        <w:t xml:space="preserve"> Dodatkowe zadania egzaminacyjne w języku obcym z biologii, chemii, fizyki i astronomii, geografii, historii, matematyki mogą rozwiązywać absolwenci oddziałów dwujęzycznych, w których przedmioty te były nauczane w języku obcym nowożytnym. </w:t>
      </w:r>
    </w:p>
    <w:p w:rsidR="005015EA" w:rsidRPr="005015EA" w:rsidRDefault="005015EA">
      <w:pPr>
        <w:rPr>
          <w:i/>
        </w:rPr>
      </w:pPr>
      <w:bookmarkStart w:id="0" w:name="_GoBack"/>
      <w:bookmarkEnd w:id="0"/>
    </w:p>
    <w:sectPr w:rsidR="005015EA" w:rsidRPr="005015EA" w:rsidSect="005015E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29"/>
    <w:rsid w:val="004D2329"/>
    <w:rsid w:val="005015EA"/>
    <w:rsid w:val="009D1029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B8E0F-BF7B-44C3-96A1-75B17716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EA"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4B16"/>
    <w:pPr>
      <w:pBdr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pBdr>
      <w:shd w:val="clear" w:color="auto" w:fill="DAF4CA" w:themeFill="accent2" w:themeFillTint="33"/>
      <w:spacing w:before="480" w:after="100"/>
      <w:ind w:left="0"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294F10" w:themeColor="accent2" w:themeShade="7F"/>
      <w:sz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4B16"/>
    <w:pPr>
      <w:pBdr>
        <w:top w:val="single" w:sz="4" w:space="0" w:color="54A021" w:themeColor="accent2"/>
        <w:left w:val="single" w:sz="48" w:space="2" w:color="54A021" w:themeColor="accent2"/>
        <w:bottom w:val="single" w:sz="4" w:space="0" w:color="54A021" w:themeColor="accent2"/>
        <w:right w:val="single" w:sz="4" w:space="4" w:color="54A021" w:themeColor="accent2"/>
      </w:pBdr>
      <w:spacing w:before="200" w:after="100"/>
      <w:ind w:left="144" w:firstLine="0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3E7718" w:themeColor="accent2" w:themeShade="BF"/>
      <w:sz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B16"/>
    <w:pPr>
      <w:pBdr>
        <w:left w:val="single" w:sz="48" w:space="2" w:color="54A021" w:themeColor="accent2"/>
        <w:bottom w:val="single" w:sz="4" w:space="0" w:color="54A021" w:themeColor="accent2"/>
      </w:pBdr>
      <w:spacing w:before="200" w:after="100" w:line="240" w:lineRule="auto"/>
      <w:ind w:left="144" w:firstLine="0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3E7718" w:themeColor="accent2" w:themeShade="BF"/>
      <w:sz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4B16"/>
    <w:pPr>
      <w:pBdr>
        <w:left w:val="single" w:sz="4" w:space="2" w:color="54A021" w:themeColor="accent2"/>
        <w:bottom w:val="single" w:sz="4" w:space="2" w:color="54A021" w:themeColor="accent2"/>
      </w:pBdr>
      <w:spacing w:before="200" w:after="100" w:line="240" w:lineRule="auto"/>
      <w:ind w:left="86" w:firstLine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3E7718" w:themeColor="accent2" w:themeShade="BF"/>
      <w:sz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4B16"/>
    <w:pPr>
      <w:pBdr>
        <w:left w:val="dotted" w:sz="4" w:space="2" w:color="54A021" w:themeColor="accent2"/>
        <w:bottom w:val="dotted" w:sz="4" w:space="2" w:color="54A021" w:themeColor="accent2"/>
      </w:pBdr>
      <w:spacing w:before="200" w:after="100" w:line="240" w:lineRule="auto"/>
      <w:ind w:left="86" w:firstLine="0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3E7718" w:themeColor="accent2" w:themeShade="BF"/>
      <w:sz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4B16"/>
    <w:pPr>
      <w:pBdr>
        <w:bottom w:val="single" w:sz="4" w:space="2" w:color="B7E995" w:themeColor="accent2" w:themeTint="66"/>
      </w:pBdr>
      <w:spacing w:before="200" w:after="100" w:line="240" w:lineRule="auto"/>
      <w:ind w:left="0" w:firstLine="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3E7718" w:themeColor="accent2" w:themeShade="BF"/>
      <w:sz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4B16"/>
    <w:pPr>
      <w:pBdr>
        <w:bottom w:val="dotted" w:sz="4" w:space="2" w:color="93DE61" w:themeColor="accent2" w:themeTint="99"/>
      </w:pBdr>
      <w:spacing w:before="200" w:after="100" w:line="240" w:lineRule="auto"/>
      <w:ind w:left="0" w:firstLine="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3E7718" w:themeColor="accent2" w:themeShade="BF"/>
      <w:sz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4B16"/>
    <w:pPr>
      <w:spacing w:before="200" w:after="100" w:line="240" w:lineRule="auto"/>
      <w:ind w:left="0" w:firstLine="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54A021" w:themeColor="accent2"/>
      <w:sz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4B16"/>
    <w:pPr>
      <w:spacing w:before="200" w:after="100" w:line="240" w:lineRule="auto"/>
      <w:ind w:left="0" w:firstLine="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54A021" w:themeColor="accent2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B16"/>
    <w:rPr>
      <w:rFonts w:asciiTheme="majorHAnsi" w:eastAsiaTheme="majorEastAsia" w:hAnsiTheme="majorHAnsi" w:cstheme="majorBidi"/>
      <w:b/>
      <w:bCs/>
      <w:i/>
      <w:iCs/>
      <w:color w:val="294F10" w:themeColor="accent2" w:themeShade="7F"/>
      <w:shd w:val="clear" w:color="auto" w:fill="DAF4CA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4B16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B16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4B16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4B16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4B16"/>
    <w:rPr>
      <w:rFonts w:asciiTheme="majorHAnsi" w:eastAsiaTheme="majorEastAsia" w:hAnsiTheme="majorHAnsi" w:cstheme="majorBidi"/>
      <w:i/>
      <w:iCs/>
      <w:color w:val="3E7718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4B16"/>
    <w:rPr>
      <w:rFonts w:asciiTheme="majorHAnsi" w:eastAsiaTheme="majorEastAsia" w:hAnsiTheme="majorHAnsi" w:cstheme="majorBidi"/>
      <w:i/>
      <w:iCs/>
      <w:color w:val="3E7718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4B16"/>
    <w:rPr>
      <w:rFonts w:asciiTheme="majorHAnsi" w:eastAsiaTheme="majorEastAsia" w:hAnsiTheme="majorHAnsi" w:cstheme="majorBidi"/>
      <w:i/>
      <w:iCs/>
      <w:color w:val="54A021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4B16"/>
    <w:rPr>
      <w:rFonts w:asciiTheme="majorHAnsi" w:eastAsiaTheme="majorEastAsia" w:hAnsiTheme="majorHAnsi" w:cstheme="majorBidi"/>
      <w:i/>
      <w:iCs/>
      <w:color w:val="54A021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E4B16"/>
    <w:pPr>
      <w:spacing w:after="200" w:line="288" w:lineRule="auto"/>
      <w:ind w:left="0" w:firstLine="0"/>
      <w:jc w:val="left"/>
    </w:pPr>
    <w:rPr>
      <w:rFonts w:asciiTheme="minorHAnsi" w:eastAsiaTheme="minorHAnsi" w:hAnsiTheme="minorHAnsi" w:cstheme="minorBidi"/>
      <w:b/>
      <w:bCs/>
      <w:i/>
      <w:iCs/>
      <w:color w:val="3E7718" w:themeColor="accent2" w:themeShade="BF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E4B16"/>
    <w:pPr>
      <w:pBdr>
        <w:top w:val="single" w:sz="48" w:space="0" w:color="54A021" w:themeColor="accent2"/>
        <w:bottom w:val="single" w:sz="48" w:space="0" w:color="54A021" w:themeColor="accent2"/>
      </w:pBdr>
      <w:shd w:val="clear" w:color="auto" w:fill="54A021" w:themeFill="accent2"/>
      <w:spacing w:after="0" w:line="240" w:lineRule="auto"/>
      <w:ind w:left="0" w:firstLine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E4B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4A021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4B16"/>
    <w:pPr>
      <w:pBdr>
        <w:bottom w:val="dotted" w:sz="8" w:space="10" w:color="54A021" w:themeColor="accent2"/>
      </w:pBdr>
      <w:spacing w:before="200" w:after="900" w:line="240" w:lineRule="auto"/>
      <w:ind w:left="0" w:firstLine="0"/>
      <w:jc w:val="center"/>
    </w:pPr>
    <w:rPr>
      <w:rFonts w:asciiTheme="majorHAnsi" w:eastAsiaTheme="majorEastAsia" w:hAnsiTheme="majorHAnsi" w:cstheme="majorBidi"/>
      <w:i/>
      <w:iCs/>
      <w:color w:val="294F10" w:themeColor="accent2" w:themeShade="7F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E4B16"/>
    <w:rPr>
      <w:rFonts w:asciiTheme="majorHAnsi" w:eastAsiaTheme="majorEastAsia" w:hAnsiTheme="majorHAnsi" w:cstheme="majorBidi"/>
      <w:i/>
      <w:iCs/>
      <w:color w:val="294F10" w:themeColor="accent2" w:themeShade="7F"/>
      <w:sz w:val="24"/>
      <w:szCs w:val="24"/>
    </w:rPr>
  </w:style>
  <w:style w:type="character" w:styleId="Pogrubienie">
    <w:name w:val="Strong"/>
    <w:uiPriority w:val="22"/>
    <w:qFormat/>
    <w:rsid w:val="00FE4B16"/>
    <w:rPr>
      <w:b/>
      <w:bCs/>
      <w:spacing w:val="0"/>
    </w:rPr>
  </w:style>
  <w:style w:type="character" w:styleId="Uwydatnienie">
    <w:name w:val="Emphasis"/>
    <w:uiPriority w:val="20"/>
    <w:qFormat/>
    <w:rsid w:val="00FE4B16"/>
    <w:rPr>
      <w:rFonts w:asciiTheme="majorHAnsi" w:eastAsiaTheme="majorEastAsia" w:hAnsiTheme="majorHAnsi" w:cstheme="majorBidi"/>
      <w:b/>
      <w:bCs/>
      <w:i/>
      <w:iCs/>
      <w:color w:val="54A021" w:themeColor="accent2"/>
      <w:bdr w:val="single" w:sz="18" w:space="0" w:color="DAF4CA" w:themeColor="accent2" w:themeTint="33"/>
      <w:shd w:val="clear" w:color="auto" w:fill="DAF4CA" w:themeFill="accent2" w:themeFillTint="33"/>
    </w:rPr>
  </w:style>
  <w:style w:type="paragraph" w:styleId="Bezodstpw">
    <w:name w:val="No Spacing"/>
    <w:basedOn w:val="Normalny"/>
    <w:link w:val="BezodstpwZnak"/>
    <w:uiPriority w:val="1"/>
    <w:qFormat/>
    <w:rsid w:val="00FE4B16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E4B16"/>
    <w:rPr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FE4B16"/>
    <w:pPr>
      <w:spacing w:after="200" w:line="288" w:lineRule="auto"/>
      <w:ind w:left="720" w:firstLine="0"/>
      <w:contextualSpacing/>
      <w:jc w:val="left"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E4B16"/>
    <w:pPr>
      <w:spacing w:after="200" w:line="288" w:lineRule="auto"/>
      <w:ind w:left="0" w:firstLine="0"/>
      <w:jc w:val="left"/>
    </w:pPr>
    <w:rPr>
      <w:rFonts w:asciiTheme="minorHAnsi" w:eastAsiaTheme="minorHAnsi" w:hAnsiTheme="minorHAnsi" w:cstheme="minorBidi"/>
      <w:color w:val="3E7718" w:themeColor="accent2" w:themeShade="BF"/>
      <w:sz w:val="20"/>
      <w:szCs w:val="20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E4B16"/>
    <w:rPr>
      <w:color w:val="3E7718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4B16"/>
    <w:pPr>
      <w:pBdr>
        <w:top w:val="dotted" w:sz="8" w:space="10" w:color="54A021" w:themeColor="accent2"/>
        <w:bottom w:val="dotted" w:sz="8" w:space="10" w:color="54A021" w:themeColor="accent2"/>
      </w:pBdr>
      <w:spacing w:after="20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54A021" w:themeColor="accent2"/>
      <w:sz w:val="20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4B16"/>
    <w:rPr>
      <w:rFonts w:asciiTheme="majorHAnsi" w:eastAsiaTheme="majorEastAsia" w:hAnsiTheme="majorHAnsi" w:cstheme="majorBidi"/>
      <w:b/>
      <w:bCs/>
      <w:i/>
      <w:iCs/>
      <w:color w:val="54A021" w:themeColor="accent2"/>
      <w:sz w:val="20"/>
      <w:szCs w:val="20"/>
    </w:rPr>
  </w:style>
  <w:style w:type="character" w:styleId="Wyrnieniedelikatne">
    <w:name w:val="Subtle Emphasis"/>
    <w:uiPriority w:val="19"/>
    <w:qFormat/>
    <w:rsid w:val="00FE4B16"/>
    <w:rPr>
      <w:rFonts w:asciiTheme="majorHAnsi" w:eastAsiaTheme="majorEastAsia" w:hAnsiTheme="majorHAnsi" w:cstheme="majorBidi"/>
      <w:i/>
      <w:iCs/>
      <w:color w:val="54A021" w:themeColor="accent2"/>
    </w:rPr>
  </w:style>
  <w:style w:type="character" w:styleId="Wyrnienieintensywne">
    <w:name w:val="Intense Emphasis"/>
    <w:uiPriority w:val="21"/>
    <w:qFormat/>
    <w:rsid w:val="00FE4B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4A021" w:themeColor="accent2"/>
      <w:shd w:val="clear" w:color="auto" w:fill="54A021" w:themeFill="accent2"/>
      <w:vertAlign w:val="baseline"/>
    </w:rPr>
  </w:style>
  <w:style w:type="character" w:styleId="Odwoaniedelikatne">
    <w:name w:val="Subtle Reference"/>
    <w:uiPriority w:val="31"/>
    <w:qFormat/>
    <w:rsid w:val="00FE4B16"/>
    <w:rPr>
      <w:i/>
      <w:iCs/>
      <w:smallCaps/>
      <w:color w:val="54A021" w:themeColor="accent2"/>
      <w:u w:color="54A021" w:themeColor="accent2"/>
    </w:rPr>
  </w:style>
  <w:style w:type="character" w:styleId="Odwoanieintensywne">
    <w:name w:val="Intense Reference"/>
    <w:uiPriority w:val="32"/>
    <w:qFormat/>
    <w:rsid w:val="00FE4B16"/>
    <w:rPr>
      <w:b/>
      <w:bCs/>
      <w:i/>
      <w:iCs/>
      <w:smallCaps/>
      <w:color w:val="54A021" w:themeColor="accent2"/>
      <w:u w:color="54A021" w:themeColor="accent2"/>
    </w:rPr>
  </w:style>
  <w:style w:type="character" w:styleId="Tytuksiki">
    <w:name w:val="Book Title"/>
    <w:uiPriority w:val="33"/>
    <w:qFormat/>
    <w:rsid w:val="00FE4B16"/>
    <w:rPr>
      <w:rFonts w:asciiTheme="majorHAnsi" w:eastAsiaTheme="majorEastAsia" w:hAnsiTheme="majorHAnsi" w:cstheme="majorBidi"/>
      <w:b/>
      <w:bCs/>
      <w:i/>
      <w:iCs/>
      <w:smallCaps/>
      <w:color w:val="3E7718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E4B16"/>
    <w:pPr>
      <w:outlineLvl w:val="9"/>
    </w:pPr>
    <w:rPr>
      <w:lang w:bidi="en-US"/>
    </w:rPr>
  </w:style>
  <w:style w:type="table" w:customStyle="1" w:styleId="TableGrid">
    <w:name w:val="TableGrid"/>
    <w:rsid w:val="005015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2018-03-28T06:44:00Z</dcterms:created>
  <dcterms:modified xsi:type="dcterms:W3CDTF">2018-03-28T06:45:00Z</dcterms:modified>
</cp:coreProperties>
</file>